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spacing w:line="640" w:lineRule="exact"/>
        <w:ind w:firstLine="640" w:firstLineChars="200"/>
        <w:jc w:val="center"/>
        <w:textAlignment w:val="auto"/>
        <w:outlineLvl w:val="9"/>
        <w:rPr>
          <w:rFonts w:hint="eastAsia" w:ascii="仿宋_GB2312" w:eastAsia="仿宋_GB2312"/>
          <w:sz w:val="32"/>
          <w:szCs w:val="32"/>
          <w:lang w:val="en-US" w:eastAsia="zh-CN"/>
        </w:rPr>
      </w:pPr>
    </w:p>
    <w:p>
      <w:pPr>
        <w:keepNext w:val="0"/>
        <w:keepLines w:val="0"/>
        <w:pageBreakBefore w:val="0"/>
        <w:widowControl/>
        <w:kinsoku/>
        <w:wordWrap/>
        <w:overflowPunct/>
        <w:topLinePunct w:val="0"/>
        <w:autoSpaceDE w:val="0"/>
        <w:autoSpaceDN w:val="0"/>
        <w:bidi w:val="0"/>
        <w:adjustRightInd w:val="0"/>
        <w:snapToGrid/>
        <w:spacing w:line="640" w:lineRule="exact"/>
        <w:ind w:firstLine="640" w:firstLineChars="200"/>
        <w:jc w:val="center"/>
        <w:textAlignment w:val="auto"/>
        <w:outlineLvl w:val="9"/>
        <w:rPr>
          <w:rFonts w:hint="eastAsia" w:ascii="仿宋_GB2312" w:eastAsia="仿宋_GB2312"/>
          <w:sz w:val="32"/>
          <w:szCs w:val="32"/>
          <w:lang w:val="en-US" w:eastAsia="zh-CN"/>
        </w:rPr>
      </w:pPr>
    </w:p>
    <w:p>
      <w:pPr>
        <w:keepNext w:val="0"/>
        <w:keepLines w:val="0"/>
        <w:pageBreakBefore w:val="0"/>
        <w:widowControl/>
        <w:kinsoku/>
        <w:wordWrap/>
        <w:overflowPunct/>
        <w:topLinePunct w:val="0"/>
        <w:autoSpaceDE w:val="0"/>
        <w:autoSpaceDN w:val="0"/>
        <w:bidi w:val="0"/>
        <w:adjustRightInd w:val="0"/>
        <w:snapToGrid/>
        <w:spacing w:line="640" w:lineRule="exact"/>
        <w:jc w:val="both"/>
        <w:textAlignment w:val="auto"/>
        <w:outlineLvl w:val="9"/>
        <w:rPr>
          <w:rFonts w:hint="eastAsia" w:ascii="仿宋_GB2312" w:eastAsia="仿宋_GB2312"/>
          <w:sz w:val="32"/>
          <w:szCs w:val="32"/>
          <w:lang w:val="en-US" w:eastAsia="zh-CN"/>
        </w:rPr>
      </w:pPr>
    </w:p>
    <w:p>
      <w:pPr>
        <w:keepNext w:val="0"/>
        <w:keepLines w:val="0"/>
        <w:pageBreakBefore w:val="0"/>
        <w:widowControl/>
        <w:kinsoku/>
        <w:wordWrap/>
        <w:overflowPunct/>
        <w:topLinePunct w:val="0"/>
        <w:autoSpaceDE w:val="0"/>
        <w:autoSpaceDN w:val="0"/>
        <w:bidi w:val="0"/>
        <w:adjustRightInd w:val="0"/>
        <w:snapToGrid/>
        <w:spacing w:line="1100" w:lineRule="exact"/>
        <w:jc w:val="distribute"/>
        <w:textAlignment w:val="auto"/>
        <w:outlineLvl w:val="9"/>
        <w:rPr>
          <w:rFonts w:hint="eastAsia" w:ascii="方正小标宋简体" w:hAnsi="方正小标宋简体" w:eastAsia="方正小标宋简体" w:cs="方正小标宋简体"/>
          <w:b/>
          <w:bCs/>
          <w:color w:val="FF0000"/>
          <w:spacing w:val="-28"/>
          <w:w w:val="70"/>
          <w:sz w:val="86"/>
          <w:szCs w:val="86"/>
          <w:vertAlign w:val="baseline"/>
          <w:lang w:val="en-US" w:eastAsia="zh-CN"/>
        </w:rPr>
      </w:pPr>
      <w:bookmarkStart w:id="0" w:name="houtou"/>
      <w:bookmarkEnd w:id="0"/>
      <w:r>
        <w:rPr>
          <w:rFonts w:hint="eastAsia" w:ascii="方正小标宋简体" w:hAnsi="方正小标宋简体" w:eastAsia="方正小标宋简体" w:cs="方正小标宋简体"/>
          <w:b w:val="0"/>
          <w:bCs w:val="0"/>
          <w:color w:val="FF0000"/>
          <w:spacing w:val="-28"/>
          <w:w w:val="70"/>
          <w:sz w:val="86"/>
          <w:szCs w:val="86"/>
          <w:vertAlign w:val="baseline"/>
          <w:lang w:val="en-US" w:eastAsia="zh-CN"/>
        </w:rPr>
        <w:t>中共乳源瑶族自治县委组织部文件</w:t>
      </w:r>
    </w:p>
    <w:p>
      <w:pPr>
        <w:keepNext w:val="0"/>
        <w:keepLines w:val="0"/>
        <w:pageBreakBefore w:val="0"/>
        <w:widowControl/>
        <w:kinsoku/>
        <w:wordWrap/>
        <w:overflowPunct/>
        <w:topLinePunct w:val="0"/>
        <w:autoSpaceDE w:val="0"/>
        <w:autoSpaceDN w:val="0"/>
        <w:bidi w:val="0"/>
        <w:adjustRightInd w:val="0"/>
        <w:snapToGrid/>
        <w:spacing w:line="440" w:lineRule="exact"/>
        <w:jc w:val="both"/>
        <w:textAlignment w:val="auto"/>
        <w:outlineLvl w:val="9"/>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ind w:firstLine="320" w:firstLineChars="100"/>
        <w:jc w:val="both"/>
        <w:textAlignment w:val="auto"/>
        <w:rPr>
          <w:rFonts w:hint="eastAsia" w:ascii="楷体_GB2312" w:hAnsi="楷体_GB2312" w:eastAsia="楷体_GB2312" w:cs="楷体_GB2312"/>
          <w:kern w:val="0"/>
          <w:sz w:val="32"/>
          <w:szCs w:val="32"/>
          <w:highlight w:val="none"/>
          <w:lang w:val="en-US" w:eastAsia="zh-CN"/>
        </w:rPr>
      </w:pPr>
      <w:bookmarkStart w:id="1" w:name="wenhao2"/>
      <w:bookmarkStart w:id="2" w:name="wenhao"/>
      <w:r>
        <w:rPr>
          <w:rFonts w:hint="eastAsia" w:ascii="仿宋_GB2312"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2555240</wp:posOffset>
                </wp:positionH>
                <wp:positionV relativeFrom="page">
                  <wp:posOffset>3948430</wp:posOffset>
                </wp:positionV>
                <wp:extent cx="248285" cy="257810"/>
                <wp:effectExtent l="0" t="0" r="18415" b="8890"/>
                <wp:wrapNone/>
                <wp:docPr id="2" name="五角星 2"/>
                <wp:cNvGraphicFramePr/>
                <a:graphic xmlns:a="http://schemas.openxmlformats.org/drawingml/2006/main">
                  <a:graphicData uri="http://schemas.microsoft.com/office/word/2010/wordprocessingShape">
                    <wps:wsp>
                      <wps:cNvSpPr/>
                      <wps:spPr>
                        <a:xfrm>
                          <a:off x="3802380" y="3560445"/>
                          <a:ext cx="248285" cy="257810"/>
                        </a:xfrm>
                        <a:prstGeom prst="star5">
                          <a:avLst/>
                        </a:prstGeom>
                        <a:gradFill>
                          <a:gsLst>
                            <a:gs pos="0">
                              <a:srgbClr val="FF0000"/>
                            </a:gs>
                            <a:gs pos="100000">
                              <a:srgbClr val="760303"/>
                            </a:gs>
                          </a:gsLst>
                          <a:lin ang="4200000" scaled="0"/>
                        </a:gradFill>
                        <a:ln w="28575" cmpd="sng">
                          <a:no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201.2pt;margin-top:310.9pt;height:20.3pt;width:19.55pt;mso-position-vertical-relative:page;z-index:251660288;v-text-anchor:middle;mso-width-relative:page;mso-height-relative:page;" fillcolor="#FF0000" filled="t" stroked="f" coordsize="248285,257810" o:gfxdata="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9rXmHdcAAAALAQAADwAAAAAAAAABACAAAAAi&#10;AAAAZHJzL2Rvd25yZXYueG1sUEsBAhQAFAAAAAgAh07iQB3kmS+2AgAAXwUAAA4AAAAAAAAAAQAg&#10;AAAAJgEAAGRycy9lMm9Eb2MueG1sUEsFBgAAAAAGAAYAWQEAAE4GAAAAAA==&#10;" path="m0,98474l94836,98475,124142,0,153448,98475,248284,98474,171559,159334,200866,257809,124142,196947,47418,257809,76725,159334xe">
                <v:path textboxrect="0,0,248285,257810" o:connectlocs="124142,0;0,98474;47418,257809;200866,257809;248284,98474" o:connectangles="247,164,82,82,0"/>
                <v:fill type="gradient" on="t" color2="#760303" angle="20" focus="100%" focussize="0,0" rotate="t">
                  <o:fill type="gradientUnscaled" v:ext="backwardCompatible"/>
                </v:fill>
                <v:stroke on="f" weight="2.25pt" miterlimit="8" joinstyle="miter"/>
                <v:imagedata o:title=""/>
                <o:lock v:ext="edit" aspectratio="f"/>
                <v:textbox>
                  <w:txbxContent>
                    <w:p>
                      <w:pPr>
                        <w:jc w:val="center"/>
                      </w:pPr>
                    </w:p>
                  </w:txbxContent>
                </v:textbox>
              </v:shape>
            </w:pict>
          </mc:Fallback>
        </mc:AlternateContent>
      </w:r>
      <w:bookmarkEnd w:id="1"/>
      <w:r>
        <w:rPr>
          <w:rFonts w:hint="eastAsia" w:ascii="仿宋_GB2312" w:hAnsi="仿宋_GB2312" w:eastAsia="仿宋_GB2312" w:cs="仿宋_GB2312"/>
          <w:kern w:val="0"/>
          <w:sz w:val="32"/>
          <w:szCs w:val="32"/>
          <w:highlight w:val="none"/>
          <w:lang w:eastAsia="zh-CN"/>
        </w:rPr>
        <w:t>乳组呈〔</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14号                 签发人：</w:t>
      </w:r>
      <w:r>
        <w:rPr>
          <w:rFonts w:hint="eastAsia" w:ascii="楷体_GB2312" w:hAnsi="楷体_GB2312" w:eastAsia="楷体_GB2312" w:cs="楷体_GB2312"/>
          <w:kern w:val="0"/>
          <w:sz w:val="32"/>
          <w:szCs w:val="32"/>
          <w:highlight w:val="none"/>
          <w:lang w:val="en-US" w:eastAsia="zh-CN"/>
        </w:rPr>
        <w:t>肖俊青</w:t>
      </w:r>
    </w:p>
    <w:p>
      <w:pPr>
        <w:spacing w:line="520" w:lineRule="exact"/>
        <w:jc w:val="center"/>
        <w:rPr>
          <w:rFonts w:hint="eastAsia" w:ascii="仿宋_GB2312" w:eastAsia="仿宋_GB2312"/>
          <w:sz w:val="32"/>
          <w:szCs w:val="32"/>
          <w:lang w:val="en-US" w:eastAsia="zh-CN"/>
        </w:rPr>
      </w:pPr>
      <w:bookmarkStart w:id="3" w:name="wenhao1"/>
      <w:r>
        <w:rPr>
          <w:sz w:val="32"/>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ge">
                  <wp:posOffset>4070985</wp:posOffset>
                </wp:positionV>
                <wp:extent cx="2484755" cy="0"/>
                <wp:effectExtent l="0" t="19050" r="10795" b="19050"/>
                <wp:wrapNone/>
                <wp:docPr id="1" name="直接连接符 1"/>
                <wp:cNvGraphicFramePr/>
                <a:graphic xmlns:a="http://schemas.openxmlformats.org/drawingml/2006/main">
                  <a:graphicData uri="http://schemas.microsoft.com/office/word/2010/wordprocessingShape">
                    <wps:wsp>
                      <wps:cNvCnPr/>
                      <wps:spPr>
                        <a:xfrm>
                          <a:off x="1161415" y="3578225"/>
                          <a:ext cx="2484755" cy="0"/>
                        </a:xfrm>
                        <a:prstGeom prst="line">
                          <a:avLst/>
                        </a:prstGeom>
                        <a:ln w="38100" cmpd="sng">
                          <a:solidFill>
                            <a:srgbClr val="FF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pt;margin-top:320.55pt;height:0pt;width:195.65pt;mso-position-vertical-relative:page;z-index:251659264;mso-width-relative:page;mso-height-relative:page;" filled="f" stroked="t" coordsize="21600,21600" o:gfxdata="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B6nPfYAAAACwEAAA8AAAAAAAAAAQAgAAAAIgAAAGRycy9kb3ducmV2LnhtbFBL&#10;AQIUABQAAAAIAIdO4kB00EtI9gEAAL4DAAAOAAAAAAAAAAEAIAAAACcBAABkcnMvZTJvRG9jLnht&#10;bFBLBQYAAAAABgAGAFkBAACPBQAAAAA=&#10;">
                <v:fill on="f" focussize="0,0"/>
                <v:stroke weight="3pt" color="#FF0000 [3204]" miterlimit="8" joinstyle="miter"/>
                <v:imagedata o:title=""/>
                <o:lock v:ext="edit" aspectratio="f"/>
              </v:line>
            </w:pict>
          </mc:Fallback>
        </mc:AlternateContent>
      </w:r>
      <w:bookmarkEnd w:id="3"/>
    </w:p>
    <w:bookmarkEnd w:id="2"/>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center"/>
        <w:textAlignment w:val="auto"/>
        <w:rPr>
          <w:rFonts w:hint="eastAsia" w:ascii="方正小标宋简体" w:hAnsi="微软雅黑" w:eastAsia="方正小标宋简体"/>
          <w:color w:val="101010"/>
          <w:sz w:val="44"/>
          <w:szCs w:val="44"/>
          <w:shd w:val="clear" w:color="auto" w:fill="FFFFFF"/>
        </w:rPr>
      </w:pPr>
      <w:bookmarkStart w:id="4" w:name="wenhao3"/>
      <w:r>
        <w:rPr>
          <w:sz w:val="32"/>
        </w:rPr>
        <mc:AlternateContent>
          <mc:Choice Requires="wps">
            <w:drawing>
              <wp:anchor distT="0" distB="0" distL="114300" distR="114300" simplePos="0" relativeHeight="251661312" behindDoc="0" locked="0" layoutInCell="1" allowOverlap="1">
                <wp:simplePos x="0" y="0"/>
                <wp:positionH relativeFrom="column">
                  <wp:posOffset>2927985</wp:posOffset>
                </wp:positionH>
                <wp:positionV relativeFrom="page">
                  <wp:posOffset>4069715</wp:posOffset>
                </wp:positionV>
                <wp:extent cx="2484755" cy="1905"/>
                <wp:effectExtent l="0" t="0" r="0" b="0"/>
                <wp:wrapNone/>
                <wp:docPr id="3" name="直接连接符 3"/>
                <wp:cNvGraphicFramePr/>
                <a:graphic xmlns:a="http://schemas.openxmlformats.org/drawingml/2006/main">
                  <a:graphicData uri="http://schemas.microsoft.com/office/word/2010/wordprocessingShape">
                    <wps:wsp>
                      <wps:cNvCnPr/>
                      <wps:spPr>
                        <a:xfrm flipV="1">
                          <a:off x="4183380" y="3578225"/>
                          <a:ext cx="2484755" cy="1905"/>
                        </a:xfrm>
                        <a:prstGeom prst="line">
                          <a:avLst/>
                        </a:prstGeom>
                        <a:ln w="38100" cmpd="sng">
                          <a:solidFill>
                            <a:srgbClr val="FF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30.55pt;margin-top:320.45pt;height:0.15pt;width:195.65pt;mso-position-vertical-relative:page;z-index:251661312;mso-width-relative:page;mso-height-relative:page;" filled="f" stroked="t" coordsize="21600,21600" o:gfxdata="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83DxX2QAAAAsBAAAPAAAAAAAAAAEAIAAAACIAAABkcnMvZG93&#10;bnJldi54bWxQSwECFAAUAAAACACHTuJA6I99Rv8BAADLAwAADgAAAAAAAAABACAAAAAoAQAAZHJz&#10;L2Uyb0RvYy54bWxQSwUGAAAAAAYABgBZAQAAmQUAAAAA&#10;">
                <v:fill on="f" focussize="0,0"/>
                <v:stroke weight="3pt" color="#FF0000 [3204]" miterlimit="8" joinstyle="miter"/>
                <v:imagedata o:title=""/>
                <o:lock v:ext="edit" aspectratio="f"/>
              </v:line>
            </w:pict>
          </mc:Fallback>
        </mc:AlternateContent>
      </w:r>
      <w:bookmarkEnd w:id="4"/>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中共乳源瑶族自治县委组织部</w:t>
      </w:r>
      <w:r>
        <w:rPr>
          <w:rFonts w:hint="eastAsia" w:ascii="方正小标宋简体" w:hAnsi="方正小标宋简体" w:eastAsia="方正小标宋简体" w:cs="方正小标宋简体"/>
          <w:sz w:val="44"/>
          <w:szCs w:val="44"/>
          <w:lang w:val="en-US" w:eastAsia="zh-CN"/>
        </w:rPr>
        <w:t>2023年度</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全面工作情况报告</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2023年，</w:t>
      </w:r>
      <w:r>
        <w:rPr>
          <w:rFonts w:hint="eastAsia" w:ascii="仿宋_GB2312" w:hAnsi="仿宋_GB2312" w:eastAsia="仿宋_GB2312" w:cs="仿宋_GB2312"/>
          <w:sz w:val="32"/>
          <w:szCs w:val="32"/>
          <w:lang w:val="en-US" w:eastAsia="zh-CN"/>
        </w:rPr>
        <w:t>在县委的坚强领导下，</w:t>
      </w:r>
      <w:r>
        <w:rPr>
          <w:rFonts w:hint="eastAsia" w:ascii="仿宋_GB2312" w:hAnsi="仿宋_GB2312" w:eastAsia="仿宋_GB2312" w:cs="仿宋_GB2312"/>
          <w:sz w:val="32"/>
          <w:szCs w:val="32"/>
          <w:lang w:eastAsia="zh-CN"/>
        </w:rPr>
        <w:t>县委组织部坚持以习近平新时代中国特色社会主义思想为指导，认真落实省委十三届二、三次全会、市委十三届四次、五次全会及县委十三届五次、六次全会精神和省委“1310”具体部署、市委“363”工作安排。</w:t>
      </w:r>
      <w:r>
        <w:rPr>
          <w:rFonts w:hint="eastAsia" w:ascii="仿宋_GB2312" w:hAnsi="仿宋_GB2312" w:eastAsia="仿宋_GB2312" w:cs="仿宋_GB2312"/>
          <w:sz w:val="32"/>
          <w:szCs w:val="32"/>
          <w:lang w:val="en-US" w:eastAsia="zh-CN"/>
        </w:rPr>
        <w:t>以助推高质量发展为主题，推动我县高质量组织工作走深走实，</w:t>
      </w:r>
      <w:r>
        <w:rPr>
          <w:rFonts w:hint="eastAsia" w:ascii="仿宋_GB2312" w:hAnsi="仿宋_GB2312" w:eastAsia="仿宋_GB2312" w:cs="仿宋_GB2312"/>
          <w:sz w:val="32"/>
          <w:szCs w:val="32"/>
        </w:rPr>
        <w:t>为奋力走在全国少数民族自治县前列提供</w:t>
      </w:r>
      <w:r>
        <w:rPr>
          <w:rFonts w:hint="eastAsia" w:ascii="仿宋_GB2312" w:hAnsi="仿宋_GB2312" w:eastAsia="仿宋_GB2312" w:cs="仿宋_GB2312"/>
          <w:sz w:val="32"/>
          <w:szCs w:val="32"/>
          <w:lang w:eastAsia="zh-CN"/>
        </w:rPr>
        <w:t>坚实的</w:t>
      </w:r>
      <w:r>
        <w:rPr>
          <w:rFonts w:hint="eastAsia" w:ascii="仿宋_GB2312" w:hAnsi="仿宋_GB2312" w:eastAsia="仿宋_GB2312" w:cs="仿宋_GB2312"/>
          <w:sz w:val="32"/>
          <w:szCs w:val="32"/>
        </w:rPr>
        <w:t>组织保障</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2023年</w:t>
      </w:r>
      <w:r>
        <w:rPr>
          <w:rFonts w:hint="eastAsia" w:ascii="黑体" w:hAnsi="黑体" w:eastAsia="黑体" w:cs="黑体"/>
          <w:sz w:val="32"/>
          <w:szCs w:val="32"/>
          <w:lang w:eastAsia="zh-CN"/>
        </w:rPr>
        <w:t>工作情况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kern w:val="2"/>
          <w:sz w:val="32"/>
          <w:szCs w:val="32"/>
          <w:highlight w:val="none"/>
          <w:lang w:val="en" w:eastAsia="zh-CN" w:bidi="ar-SA"/>
        </w:rPr>
      </w:pPr>
      <w:r>
        <w:rPr>
          <w:rFonts w:hint="eastAsia" w:ascii="楷体_GB2312" w:hAnsi="楷体_GB2312" w:eastAsia="楷体_GB2312" w:cs="楷体_GB2312"/>
          <w:color w:val="auto"/>
          <w:sz w:val="32"/>
          <w:szCs w:val="32"/>
          <w:highlight w:val="none"/>
          <w:lang w:val="en"/>
        </w:rPr>
        <w:t>旗帜鲜明讲政治，坚持不懈用习近平新时代中国特色社会主义思想凝心铸魂</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把开展主题教育作为重大政治任务，牢牢把握“学思想、强党性、重实践、建新功”总要求，坚决贯彻落实党中央决策部署和省委、市委、县委工作要求，组织动员全县党员干部以一刻不停的自觉强化理论武装，以求真务实的态度深入调查研究，以一往无前的劲头推动高质量发展，以一抓到底的决心开展检视整改，切实把主题教育谋划好、组织好、落实好。通过各级党组织有力推动，广大党员、干部积极投入，人民群众热情支持，整个主题教育特点鲜明、扎实紧凑，达到了预期目的，取得了丰硕的成果。</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理论学习走深走实。以集中学、研讨学、带头学、实地学等方式，推动广大党员干部读原著、学原文、悟原理。开展为期7天的县处级领导班子读书班和4次县委理论学习中心组学习研讨会，带头开展“书记讲给书记听”专题党课活动，示范带动全县各级党组织书记上党课750余次。</w:t>
      </w:r>
      <w:r>
        <w:rPr>
          <w:rFonts w:hint="eastAsia" w:ascii="仿宋_GB2312" w:hAnsi="仿宋_GB2312" w:eastAsia="仿宋_GB2312" w:cs="仿宋_GB2312"/>
          <w:color w:val="auto"/>
          <w:sz w:val="32"/>
          <w:szCs w:val="32"/>
        </w:rPr>
        <w:t>各基层党组织深刻把握第二批主题教育要深入基层一线的特点，充分发挥本地红色资源优势，积极探索贴近群众的基层理论宣讲新路子，通过主题党日等形式，组织党员红色基地开展党性教育，创建“布谷鸟”“金喇叭”“三语广播”等特色宣讲载体，组织广大党员干部在田间地头、群众门前、农家小院中开课领学，让新思想、新文化、新理论的种子在基层落地生根。</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调查研究攻坚破难。</w:t>
      </w:r>
      <w:r>
        <w:rPr>
          <w:rFonts w:hint="eastAsia" w:ascii="仿宋_GB2312" w:hAnsi="仿宋_GB2312" w:eastAsia="仿宋_GB2312" w:cs="仿宋_GB2312"/>
          <w:b w:val="0"/>
          <w:bCs w:val="0"/>
          <w:color w:val="auto"/>
          <w:sz w:val="32"/>
          <w:szCs w:val="32"/>
        </w:rPr>
        <w:t>紧扣</w:t>
      </w:r>
      <w:r>
        <w:rPr>
          <w:rFonts w:hint="eastAsia" w:ascii="仿宋_GB2312" w:hAnsi="仿宋_GB2312" w:eastAsia="仿宋_GB2312" w:cs="仿宋_GB2312"/>
          <w:color w:val="auto"/>
          <w:sz w:val="32"/>
          <w:szCs w:val="32"/>
        </w:rPr>
        <w:t>经济社会高质量发展的新要求新问题和人民群众的殷切期盼，</w:t>
      </w:r>
      <w:r>
        <w:rPr>
          <w:rFonts w:hint="eastAsia" w:ascii="仿宋_GB2312" w:hAnsi="仿宋_GB2312" w:eastAsia="仿宋_GB2312" w:cs="仿宋_GB2312"/>
          <w:color w:val="auto"/>
          <w:sz w:val="32"/>
          <w:szCs w:val="32"/>
          <w:lang w:eastAsia="zh-CN"/>
        </w:rPr>
        <w:t>县处级以上领导干部</w:t>
      </w:r>
      <w:r>
        <w:rPr>
          <w:rFonts w:hint="eastAsia" w:ascii="仿宋_GB2312" w:hAnsi="仿宋_GB2312" w:eastAsia="仿宋_GB2312" w:cs="仿宋_GB2312"/>
          <w:color w:val="auto"/>
          <w:sz w:val="32"/>
          <w:szCs w:val="32"/>
        </w:rPr>
        <w:t>围绕推动高标准农田建设、优化营商环境、建设现代产业体系等方面确定31项调研课题，主动深入到困难大、矛盾多、情况复杂、群众意见多的地方，开展调研活动394次，与企业家和群众面对面交流，全面深入了解真实情况，研究解决举措，建立清单，明确责任单位、责任人和完成时限。各镇各单位领导干部</w:t>
      </w:r>
      <w:r>
        <w:rPr>
          <w:rFonts w:hint="eastAsia" w:ascii="仿宋_GB2312" w:hAnsi="仿宋_GB2312" w:eastAsia="仿宋_GB2312" w:cs="仿宋_GB2312"/>
          <w:color w:val="auto"/>
          <w:sz w:val="32"/>
          <w:szCs w:val="32"/>
          <w:lang w:eastAsia="zh-CN"/>
        </w:rPr>
        <w:t>下沉一线</w:t>
      </w:r>
      <w:r>
        <w:rPr>
          <w:rFonts w:hint="eastAsia" w:ascii="仿宋_GB2312" w:hAnsi="仿宋_GB2312" w:eastAsia="仿宋_GB2312" w:cs="仿宋_GB2312"/>
          <w:color w:val="auto"/>
          <w:sz w:val="32"/>
          <w:szCs w:val="32"/>
        </w:rPr>
        <w:t>开展服务基层、服务群众活动，在活动过程中开展调研活动423次，开展各级建言献策活动189场，收集群众诉求、建议451条。坚持以调研的良好成效推动各项事业稳步发展，扎实做好调查研究的“后半篇文章”，大力推动91条调研措施全部完成转化，动态推动调研成果转化为解难题促发展的实际行动。</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val="0"/>
          <w:bCs w:val="0"/>
          <w:color w:val="auto"/>
          <w:sz w:val="32"/>
          <w:szCs w:val="32"/>
          <w:lang w:eastAsia="zh-CN"/>
        </w:rPr>
        <w:t>鼓足干劲推动发展。</w:t>
      </w:r>
      <w:r>
        <w:rPr>
          <w:rFonts w:hint="eastAsia" w:ascii="仿宋_GB2312" w:hAnsi="仿宋_GB2312" w:eastAsia="仿宋_GB2312" w:cs="仿宋_GB2312"/>
          <w:color w:val="auto"/>
          <w:sz w:val="32"/>
          <w:szCs w:val="32"/>
        </w:rPr>
        <w:t>坚持主题教育同经济社会发展同频共振，聚焦省委“1310”具体部署、市委“363”工作安排，围绕“百千万工程”、绿美乳源生态建设等重点工作，建立“不能说不行，要说怎么办”的重大项目无障碍落地保障和容缺审批机制，切实把主题教育焕发的热情转化为发展动力。紧盯“6＋1”产业链市场需求，聚焦链主企业，完善“一链一策一图”规划，提升招商引资效能，全县顺利引进项目126个、新开工建设项目116个。坚持“制造业当家”这个高质量发展重心，打造以东阳光为龙头的优势产业集群，推动中国电力新源清材、新源芯安等一系列大项目好项目快速落地建设，为乳源经济社会高质量发展注入强大动力。</w:t>
      </w:r>
    </w:p>
    <w:p>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eastAsia="zh-CN"/>
        </w:rPr>
        <w:t>四是</w:t>
      </w:r>
      <w:r>
        <w:rPr>
          <w:rFonts w:hint="eastAsia" w:ascii="仿宋_GB2312" w:hAnsi="仿宋_GB2312" w:eastAsia="仿宋_GB2312" w:cs="仿宋_GB2312"/>
          <w:b w:val="0"/>
          <w:bCs w:val="0"/>
          <w:color w:val="auto"/>
          <w:sz w:val="32"/>
          <w:szCs w:val="32"/>
          <w:lang w:eastAsia="zh-CN"/>
        </w:rPr>
        <w:t>为民服务初心不改。依托</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color w:val="auto"/>
          <w:sz w:val="32"/>
          <w:szCs w:val="32"/>
        </w:rPr>
        <w:t>双向服务”工作机制，推动县科级领导干部下沉向基层服务、向群众服务，通过“四+二”规定动作，开展驻点直联活动5100余次、政策宣讲610次，办理基层民生实事700余件，解决问题580个，搭建起紧密联系群众的“连心桥”。积极推动便民服务优化升级，找准为民办实事“小切口”，创新打造</w:t>
      </w:r>
      <w:r>
        <w:rPr>
          <w:rFonts w:hint="eastAsia" w:ascii="仿宋_GB2312" w:hAnsi="仿宋_GB2312" w:eastAsia="仿宋_GB2312" w:cs="仿宋_GB2312"/>
          <w:color w:val="auto"/>
          <w:sz w:val="32"/>
          <w:szCs w:val="32"/>
          <w:lang w:eastAsia="zh-CN"/>
        </w:rPr>
        <w:t>鹰峰社区</w:t>
      </w:r>
      <w:r>
        <w:rPr>
          <w:rFonts w:hint="eastAsia" w:ascii="仿宋_GB2312" w:hAnsi="仿宋_GB2312" w:eastAsia="仿宋_GB2312" w:cs="仿宋_GB2312"/>
          <w:color w:val="auto"/>
          <w:sz w:val="32"/>
          <w:szCs w:val="32"/>
        </w:rPr>
        <w:t>“四点半课堂”</w:t>
      </w:r>
      <w:r>
        <w:rPr>
          <w:rFonts w:hint="eastAsia" w:ascii="仿宋_GB2312" w:hAnsi="仿宋_GB2312" w:eastAsia="仿宋_GB2312" w:cs="仿宋_GB2312"/>
          <w:color w:val="auto"/>
          <w:sz w:val="32"/>
          <w:szCs w:val="32"/>
          <w:lang w:eastAsia="zh-CN"/>
        </w:rPr>
        <w:t>等民生项目</w:t>
      </w:r>
      <w:r>
        <w:rPr>
          <w:rFonts w:hint="eastAsia" w:ascii="仿宋_GB2312" w:hAnsi="仿宋_GB2312" w:eastAsia="仿宋_GB2312" w:cs="仿宋_GB2312"/>
          <w:color w:val="auto"/>
          <w:sz w:val="32"/>
          <w:szCs w:val="32"/>
        </w:rPr>
        <w:t>，推动解决南鹰高压线迁改，持续补齐医疗短板，推进紧密型医共体建设，不断完善“一老一小”服务体系，建成县中医医院医养结合中心和3间居家养老服务中心，完成县未成年人救助保护中心建设，长者饭堂实现乡镇全覆盖，让群众对主题教育成效更加可知可感可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（二）推动基层党组织全面过硬</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bCs/>
          <w:lang w:eastAsia="zh-CN"/>
        </w:rPr>
        <w:t>一是</w:t>
      </w:r>
      <w:r>
        <w:rPr>
          <w:rFonts w:hint="eastAsia" w:ascii="仿宋_GB2312" w:hAnsi="仿宋_GB2312" w:eastAsia="仿宋_GB2312" w:cs="仿宋_GB2312"/>
          <w:b w:val="0"/>
          <w:bCs w:val="0"/>
          <w:lang w:eastAsia="zh-CN"/>
        </w:rPr>
        <w:t>统筹加强各领域基层党组织建设。</w:t>
      </w:r>
      <w:r>
        <w:rPr>
          <w:rFonts w:hint="eastAsia" w:ascii="仿宋_GB2312" w:hAnsi="仿宋_GB2312" w:eastAsia="仿宋_GB2312" w:cs="仿宋_GB2312"/>
          <w:lang w:eastAsia="zh-CN"/>
        </w:rPr>
        <w:t>制定《乳源瑶族自治县加强村民小组党建工作实施方案》，不断建强党组织“神经末梢”。进一步加强村民小组党组织建设。印发《乳源瑶族自治县村民小组党组织设立工作指引》，全县1069个村民小组共成立了375个党小组，村民小组党组织覆盖率达100%。实行村民小组“组账村监镇管”。对照问题清单，开展“六查找”拉网式全面排查，按照不设比例、不定指标、实事求是、应整尽整的原则，以主题教育为抓手，持续整顿软弱涣散村党组织，现已完成县级验收。实行村级党组织评星定级，推动农村党组织创先争优、晋位升级，推荐五星级党组织</w:t>
      </w:r>
      <w:r>
        <w:rPr>
          <w:rFonts w:hint="eastAsia" w:ascii="仿宋_GB2312" w:hAnsi="仿宋_GB2312" w:eastAsia="仿宋_GB2312" w:cs="仿宋_GB2312"/>
          <w:lang w:val="en-US" w:eastAsia="zh-CN"/>
        </w:rPr>
        <w:t>5个</w:t>
      </w:r>
      <w:r>
        <w:rPr>
          <w:rFonts w:hint="eastAsia" w:ascii="仿宋_GB2312" w:hAnsi="仿宋_GB2312" w:eastAsia="仿宋_GB2312" w:cs="仿宋_GB2312"/>
          <w:lang w:eastAsia="zh-CN"/>
        </w:rPr>
        <w:t>。把县城区域内4大社区1000余栋楼划分成37个综合网格片区，发挥社区“大党委”和“双报到”机制，建立起19个网格联合党支部，以“一格一员”标准，梳理和优化各网格管理人员队伍。以“百强党支部”创建为抓手，持续深化机关党支部标准化规范化建设。制定《基层党建每月工作指引》，从学习内容、组织生活、组织建设、主题党日等4个方面提出具体任务和时间进度要求。由县委“两新”工委牵头，县民政、工信、高新区等19个行业主管单位及9个乡镇党委建立工作联动机制，用好“双同步”工作抓手，一手抓底数摸排，一手抓组织建设，累计选派85名两新党建指导员。持续推动公立医院“把支部建在科室上”，深入实施临床医技科室党支部书记“双带头人”培育工程，以党建引领促进公立医院综合医疗服务能力提升。用好用活考核“指挥棒”，通过党建年度考核、基层党建季度“交叉评比”和每月基层党建调度等方式，全覆盖考评全县近70余个机关企事业单位，有效提升基层党组织党建工作质量，打造了100个“百强党支部”。</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bCs/>
          <w:lang w:eastAsia="zh-CN"/>
        </w:rPr>
        <w:t>二是</w:t>
      </w:r>
      <w:r>
        <w:rPr>
          <w:rFonts w:hint="eastAsia" w:ascii="仿宋_GB2312" w:hAnsi="仿宋_GB2312" w:eastAsia="仿宋_GB2312" w:cs="仿宋_GB2312"/>
          <w:b w:val="0"/>
          <w:bCs w:val="0"/>
          <w:lang w:eastAsia="zh-CN"/>
        </w:rPr>
        <w:t>培优育强村级党员干部队伍。全面落实村级</w:t>
      </w:r>
      <w:r>
        <w:rPr>
          <w:rFonts w:hint="eastAsia" w:ascii="仿宋_GB2312" w:hAnsi="仿宋_GB2312" w:eastAsia="仿宋_GB2312" w:cs="仿宋_GB2312"/>
          <w:lang w:eastAsia="zh-CN"/>
        </w:rPr>
        <w:t>党组织书记“全链条”监督管理，完成116个村（社区）党组织书记县级备案管理，实现“一人一档”精细化管理。动态实施青苗工程，按照1:2比例将234名党员作为村（社区）党组织书记储备人选进行重点培养，按照1:2比例将245名年轻人才纳入村级“两委”青苗工程蹲苗培养。大力实施村（社区）“两委”干部学历提升工程，与县委党校联合开办在职中专班，近三年共有189名村（社区）干部及储备人选报读学历提升班。健全村民小组长管理机制，建立把党员推选为村民小组长，将优秀村小组长培养为党员的“双培养”模式，提升党员村民小组长的比例，将17名致富能力强、带动效益明显、表现优秀的村民小组长发展为党员，目前党员村民小组长共</w:t>
      </w:r>
      <w:r>
        <w:rPr>
          <w:rFonts w:hint="eastAsia" w:ascii="仿宋_GB2312" w:hAnsi="仿宋_GB2312" w:eastAsia="仿宋_GB2312" w:cs="仿宋_GB2312"/>
          <w:lang w:val="en-US" w:eastAsia="zh-CN"/>
        </w:rPr>
        <w:t>451</w:t>
      </w:r>
      <w:r>
        <w:rPr>
          <w:rFonts w:hint="eastAsia" w:ascii="仿宋_GB2312" w:hAnsi="仿宋_GB2312" w:eastAsia="仿宋_GB2312" w:cs="仿宋_GB2312"/>
          <w:lang w:eastAsia="zh-CN"/>
        </w:rPr>
        <w:t>人，占比</w:t>
      </w:r>
      <w:r>
        <w:rPr>
          <w:rFonts w:hint="eastAsia" w:ascii="仿宋_GB2312" w:hAnsi="仿宋_GB2312" w:eastAsia="仿宋_GB2312" w:cs="仿宋_GB2312"/>
          <w:lang w:val="en-US" w:eastAsia="zh-CN"/>
        </w:rPr>
        <w:t>42.59</w:t>
      </w:r>
      <w:r>
        <w:rPr>
          <w:rFonts w:hint="eastAsia" w:ascii="仿宋_GB2312" w:hAnsi="仿宋_GB2312" w:eastAsia="仿宋_GB2312" w:cs="仿宋_GB2312"/>
          <w:lang w:eastAsia="zh-CN"/>
        </w:rPr>
        <w:t>%。抓好村（社区）“两委”班子届中分析研判和村书记集中联审工作，做到“五个摸清”，为做好2026年换届选举工作打下坚实基础。</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bCs/>
          <w:lang w:eastAsia="zh-CN"/>
        </w:rPr>
        <w:t>三是</w:t>
      </w:r>
      <w:r>
        <w:rPr>
          <w:rFonts w:hint="eastAsia" w:ascii="仿宋_GB2312" w:hAnsi="仿宋_GB2312" w:eastAsia="仿宋_GB2312" w:cs="仿宋_GB2312"/>
          <w:b w:val="0"/>
          <w:bCs w:val="0"/>
          <w:lang w:eastAsia="zh-CN"/>
        </w:rPr>
        <w:t>加强党员队伍教育管理。2023年</w:t>
      </w:r>
      <w:r>
        <w:rPr>
          <w:rFonts w:hint="eastAsia" w:ascii="仿宋_GB2312" w:hAnsi="仿宋_GB2312" w:eastAsia="仿宋_GB2312" w:cs="仿宋_GB2312"/>
          <w:lang w:eastAsia="zh-CN"/>
        </w:rPr>
        <w:t>为全县广大基层党员干部开课623次，培训党员1.9万余人次，发放《中国共产党章程》《习近平著作选读》和党的二十大报告等书籍共计2.2万余册，切实做到党员教育全覆盖。严格落实发展党员“村培镇管”制定，建立2200余人的农村发展党员人选库，对发展党员全过程跟踪培养。高质量完成每年度的发展党员指标，今年发展了农村党员98人，平均年龄35.45岁，其中具有高中及以上学历的占63.3%。出台《乳源瑶族自治县农村党员积分管理工作实施方案》，强化党员的责任意识。对全县困难党员进行摸底造册，制定《乳源瑶族自治县党员互助金细化管理和使用办法（试行）》，及时对有需要的困难党员予以党组织关心关怀。做好元旦春节及“七一”期间走访慰问工作，共划拨给基层党组织慰问党费49.84万元。举办“光荣在党50年”纪念章集中颁发暨新发展党员入党宣誓仪式，营造“七一”浓厚氛围，激发全县党员爱党爱国热情。牵头拍摄老党员刘智民的党员电视教育片《烛照瑶山》，获评全市十部“党员教育优秀电视片”之一，通过身边人身边事教育党员兢兢业业为党的事业努力奋斗。</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bCs/>
          <w:lang w:eastAsia="zh-CN"/>
        </w:rPr>
        <w:t>四是</w:t>
      </w:r>
      <w:r>
        <w:rPr>
          <w:rFonts w:hint="eastAsia" w:ascii="仿宋_GB2312" w:hAnsi="仿宋_GB2312" w:eastAsia="仿宋_GB2312" w:cs="仿宋_GB2312"/>
          <w:b w:val="0"/>
          <w:bCs w:val="0"/>
          <w:lang w:eastAsia="zh-CN"/>
        </w:rPr>
        <w:t>围绕“百县千镇万村高质量发展工程”推进抓党建促乡村振兴。统筹推进“百千万工程”、绿美乳源生态建设、制造业高质量发展、高质量党建引领乡村振兴等重点工作，在重大项目、重大任务、重点工作一线</w:t>
      </w:r>
      <w:r>
        <w:rPr>
          <w:rStyle w:val="10"/>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设立临时党支部，让党旗飘在第一线。</w:t>
      </w:r>
      <w:r>
        <w:rPr>
          <w:rStyle w:val="10"/>
          <w:rFonts w:hint="eastAsia" w:ascii="仿宋_GB2312" w:hAnsi="仿宋_GB2312" w:eastAsia="仿宋_GB2312" w:cs="仿宋_GB2312"/>
          <w:b w:val="0"/>
          <w:bCs w:val="0"/>
          <w:color w:val="auto"/>
          <w:sz w:val="32"/>
          <w:szCs w:val="32"/>
          <w:highlight w:val="none"/>
          <w:lang w:val="en-US" w:eastAsia="zh-CN"/>
        </w:rPr>
        <w:t>深入实施</w:t>
      </w:r>
      <w:r>
        <w:rPr>
          <w:rStyle w:val="10"/>
          <w:rFonts w:hint="eastAsia" w:ascii="仿宋_GB2312" w:hAnsi="仿宋_GB2312" w:eastAsia="仿宋_GB2312" w:cs="仿宋_GB2312"/>
          <w:b w:val="0"/>
          <w:bCs w:val="0"/>
          <w:color w:val="auto"/>
          <w:sz w:val="32"/>
          <w:szCs w:val="32"/>
          <w:highlight w:val="none"/>
        </w:rPr>
        <w:t>“百村十万</w:t>
      </w:r>
      <w:r>
        <w:rPr>
          <w:rStyle w:val="10"/>
          <w:rFonts w:hint="eastAsia" w:ascii="仿宋_GB2312" w:hAnsi="仿宋_GB2312" w:eastAsia="仿宋_GB2312" w:cs="仿宋_GB2312"/>
          <w:b w:val="0"/>
          <w:bCs w:val="0"/>
          <w:color w:val="auto"/>
          <w:sz w:val="32"/>
          <w:szCs w:val="32"/>
          <w:highlight w:val="none"/>
          <w:lang w:val="en-US" w:eastAsia="zh-CN"/>
        </w:rPr>
        <w:t>+</w:t>
      </w:r>
      <w:r>
        <w:rPr>
          <w:rStyle w:val="10"/>
          <w:rFonts w:hint="eastAsia" w:ascii="仿宋_GB2312" w:hAnsi="仿宋_GB2312" w:eastAsia="仿宋_GB2312" w:cs="仿宋_GB2312"/>
          <w:b w:val="0"/>
          <w:bCs w:val="0"/>
          <w:color w:val="auto"/>
          <w:sz w:val="32"/>
          <w:szCs w:val="32"/>
          <w:highlight w:val="none"/>
        </w:rPr>
        <w:t>”</w:t>
      </w:r>
      <w:r>
        <w:rPr>
          <w:rStyle w:val="10"/>
          <w:rFonts w:hint="eastAsia" w:ascii="仿宋_GB2312" w:hAnsi="仿宋_GB2312" w:eastAsia="仿宋_GB2312" w:cs="仿宋_GB2312"/>
          <w:b w:val="0"/>
          <w:bCs w:val="0"/>
          <w:color w:val="auto"/>
          <w:sz w:val="32"/>
          <w:szCs w:val="32"/>
          <w:highlight w:val="none"/>
          <w:lang w:val="en-US" w:eastAsia="zh-CN"/>
        </w:rPr>
        <w:t>工程</w:t>
      </w:r>
      <w:r>
        <w:rPr>
          <w:rStyle w:val="10"/>
          <w:rFonts w:hint="eastAsia" w:ascii="仿宋_GB2312" w:hAnsi="仿宋_GB2312" w:eastAsia="仿宋_GB2312" w:cs="仿宋_GB2312"/>
          <w:b w:val="0"/>
          <w:bCs w:val="0"/>
          <w:color w:val="auto"/>
          <w:sz w:val="32"/>
          <w:szCs w:val="32"/>
          <w:highlight w:val="none"/>
        </w:rPr>
        <w:t>壮大</w:t>
      </w:r>
      <w:r>
        <w:rPr>
          <w:rStyle w:val="10"/>
          <w:rFonts w:hint="eastAsia" w:ascii="仿宋_GB2312" w:hAnsi="仿宋_GB2312" w:eastAsia="仿宋_GB2312" w:cs="仿宋_GB2312"/>
          <w:b w:val="0"/>
          <w:bCs w:val="0"/>
          <w:color w:val="auto"/>
          <w:sz w:val="32"/>
          <w:szCs w:val="32"/>
          <w:highlight w:val="none"/>
          <w:lang w:eastAsia="zh-CN"/>
        </w:rPr>
        <w:t>农</w:t>
      </w:r>
      <w:r>
        <w:rPr>
          <w:rStyle w:val="10"/>
          <w:rFonts w:hint="eastAsia" w:ascii="仿宋_GB2312" w:hAnsi="仿宋_GB2312" w:eastAsia="仿宋_GB2312" w:cs="仿宋_GB2312"/>
          <w:b w:val="0"/>
          <w:bCs w:val="0"/>
          <w:color w:val="auto"/>
          <w:sz w:val="32"/>
          <w:szCs w:val="32"/>
          <w:highlight w:val="none"/>
        </w:rPr>
        <w:t>村集体经济</w:t>
      </w:r>
      <w:r>
        <w:rPr>
          <w:rStyle w:val="10"/>
          <w:rFonts w:hint="eastAsia" w:ascii="仿宋_GB2312" w:hAnsi="仿宋_GB2312" w:eastAsia="仿宋_GB2312" w:cs="仿宋_GB2312"/>
          <w:b w:val="0"/>
          <w:bCs w:val="0"/>
          <w:color w:val="auto"/>
          <w:sz w:val="32"/>
          <w:szCs w:val="32"/>
          <w:highlight w:val="none"/>
          <w:lang w:eastAsia="zh-CN"/>
        </w:rPr>
        <w:t>，</w:t>
      </w:r>
      <w:r>
        <w:rPr>
          <w:rStyle w:val="10"/>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制定村级集体经济增收途径“一村一策”</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eastAsia="zh-CN"/>
        </w:rPr>
        <w:t>。围绕乳桂经济走廊、环南水湖、南岭画廊、高山峡谷4条乡村振兴示范带建设，通过培植亮点、树立典型，</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完成</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eastAsia="zh-CN"/>
        </w:rPr>
        <w:t>2批50个抓党建促乡村振兴示范点</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验收，</w:t>
      </w:r>
      <w:r>
        <w:rPr>
          <w:rFonts w:hint="eastAsia" w:ascii="仿宋_GB2312" w:hAnsi="仿宋_GB2312" w:eastAsia="仿宋_GB2312" w:cs="仿宋_GB2312"/>
          <w:b w:val="0"/>
          <w:bCs w:val="0"/>
          <w:color w:val="auto"/>
          <w:sz w:val="32"/>
          <w:szCs w:val="32"/>
          <w:lang w:eastAsia="zh-CN"/>
        </w:rPr>
        <w:t>顺利完成抓党建促乡村振兴示范县创建中期评估工作。</w:t>
      </w:r>
      <w:r>
        <w:rPr>
          <w:rFonts w:hint="eastAsia" w:ascii="仿宋_GB2312" w:hAnsi="仿宋_GB2312" w:eastAsia="仿宋_GB2312" w:cs="仿宋_GB2312"/>
          <w:lang w:eastAsia="zh-CN"/>
        </w:rPr>
        <w:t>统筹全县103个村级经济联社加入强镇富村公司，拓宽村集体增收渠道，目前全县103个行政村年经营性收入全部达到10万元以上。将省级奖补资金400万元，县级财政资金278万元用于9个乡镇五小场所和周转房改造提升，满足（改善）272人住宿需求。搭建比学赶超平台，立足“双月调度”机制，以“现场观摩+经验分享+主题研讨+业务答疑”等形式，围绕发展壮大村集体经济、高质量党建推动高质量发展“五强五优”十大行动等主题，举行了4期“基层书记谈振兴”活动，共同为乳源高质量党建助力添力。从5月起每月至少召开2次乡镇组织委员调度会，聚焦重难点工作进行任务分解与经验分享，通过讲亮点成效、谈问题不足、谋对策出路、话未来蓝图，在全县营造主动抓村集体经济发展的浓厚氛围。</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bCs/>
          <w:lang w:eastAsia="zh-CN"/>
        </w:rPr>
        <w:t>五是</w:t>
      </w:r>
      <w:r>
        <w:rPr>
          <w:rFonts w:hint="eastAsia" w:ascii="仿宋_GB2312" w:hAnsi="仿宋_GB2312" w:eastAsia="仿宋_GB2312" w:cs="仿宋_GB2312"/>
          <w:b w:val="0"/>
          <w:bCs w:val="0"/>
          <w:lang w:eastAsia="zh-CN"/>
        </w:rPr>
        <w:t>深化党建引领基层治理。健全</w:t>
      </w:r>
      <w:r>
        <w:rPr>
          <w:rFonts w:hint="eastAsia" w:ascii="仿宋_GB2312" w:hAnsi="仿宋_GB2312" w:eastAsia="仿宋_GB2312" w:cs="仿宋_GB2312"/>
          <w:lang w:eastAsia="zh-CN"/>
        </w:rPr>
        <w:t>“双运行”机制，组织70余个机关企事业单位、3000多名在职党员到社区开展“双报到、双服务”活动，引导共建单位推出“我为群众办实事”共建项目108个，每年开展报到服务活动2000余场次，参与党员3万余人次。</w:t>
      </w:r>
      <w:r>
        <w:rPr>
          <w:rFonts w:hint="eastAsia" w:ascii="仿宋_GB2312" w:hAnsi="仿宋_GB2312" w:eastAsia="仿宋_GB2312" w:cs="仿宋_GB2312"/>
          <w:lang w:val="en-US" w:eastAsia="zh-CN"/>
        </w:rPr>
        <w:t>2023</w:t>
      </w:r>
      <w:r>
        <w:rPr>
          <w:rFonts w:hint="eastAsia" w:ascii="仿宋_GB2312" w:hAnsi="仿宋_GB2312" w:eastAsia="仿宋_GB2312" w:cs="仿宋_GB2312"/>
          <w:lang w:eastAsia="zh-CN"/>
        </w:rPr>
        <w:t>年安排资金102万元提升7个村（</w:t>
      </w:r>
      <w:bookmarkStart w:id="5" w:name="_GoBack"/>
      <w:bookmarkEnd w:id="5"/>
      <w:r>
        <w:rPr>
          <w:rFonts w:hint="eastAsia" w:ascii="仿宋_GB2312" w:hAnsi="仿宋_GB2312" w:eastAsia="仿宋_GB2312" w:cs="仿宋_GB2312"/>
          <w:lang w:eastAsia="zh-CN"/>
        </w:rPr>
        <w:t>社区）党群服务中心，印发《乳源瑶族自治县村（社区）党群服务中心规范挂牌行动工作方案》，推动村（社区）党群服务中心布局更合理、标识更清晰、功能更完备、设施更齐全、环境更温馨、服务更贴心。着力加强社区党群服务中心实体化功能化建设，116个村（社区）均制定“一村（社区）一特色”及特殊群体服务清单，累计开展服务</w:t>
      </w:r>
      <w:r>
        <w:rPr>
          <w:rFonts w:hint="eastAsia" w:ascii="仿宋_GB2312" w:hAnsi="仿宋_GB2312" w:eastAsia="仿宋_GB2312" w:cs="仿宋_GB2312"/>
          <w:lang w:val="en-US" w:eastAsia="zh-CN"/>
        </w:rPr>
        <w:t>1330</w:t>
      </w:r>
      <w:r>
        <w:rPr>
          <w:rFonts w:hint="eastAsia" w:ascii="仿宋_GB2312" w:hAnsi="仿宋_GB2312" w:eastAsia="仿宋_GB2312" w:cs="仿宋_GB2312"/>
          <w:lang w:eastAsia="zh-CN"/>
        </w:rPr>
        <w:t>场次，服务群众3万余人次。组织了</w:t>
      </w:r>
      <w:r>
        <w:rPr>
          <w:rFonts w:hint="eastAsia" w:ascii="仿宋_GB2312" w:hAnsi="仿宋_GB2312" w:eastAsia="仿宋_GB2312" w:cs="仿宋_GB2312"/>
          <w:lang w:val="en-US" w:eastAsia="zh-CN"/>
        </w:rPr>
        <w:t>54</w:t>
      </w:r>
      <w:r>
        <w:rPr>
          <w:rFonts w:hint="eastAsia" w:ascii="仿宋_GB2312" w:hAnsi="仿宋_GB2312" w:eastAsia="仿宋_GB2312" w:cs="仿宋_GB2312"/>
          <w:lang w:eastAsia="zh-CN"/>
        </w:rPr>
        <w:t>个村推广使用积分制，</w:t>
      </w:r>
      <w:r>
        <w:rPr>
          <w:rFonts w:hint="eastAsia" w:ascii="仿宋_GB2312" w:hAnsi="仿宋_GB2312" w:eastAsia="仿宋_GB2312" w:cs="仿宋_GB2312"/>
          <w:lang w:val="en-US" w:eastAsia="zh-CN"/>
        </w:rPr>
        <w:t>70</w:t>
      </w:r>
      <w:r>
        <w:rPr>
          <w:rFonts w:hint="eastAsia" w:ascii="仿宋_GB2312" w:hAnsi="仿宋_GB2312" w:eastAsia="仿宋_GB2312" w:cs="仿宋_GB2312"/>
          <w:lang w:eastAsia="zh-CN"/>
        </w:rPr>
        <w:t>个村完成清单制工作，完成积分制运用率达40%以上，进一步激活内生动力，形成有效的激励约束机制，强化党建引领乡村治理能力提升。</w:t>
      </w:r>
    </w:p>
    <w:p>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b/>
          <w:bCs/>
          <w:lang w:eastAsia="zh-CN"/>
        </w:rPr>
        <w:t>六是</w:t>
      </w:r>
      <w:r>
        <w:rPr>
          <w:rFonts w:hint="eastAsia" w:ascii="仿宋_GB2312" w:hAnsi="仿宋_GB2312" w:eastAsia="仿宋_GB2312" w:cs="仿宋_GB2312"/>
          <w:b w:val="0"/>
          <w:bCs w:val="0"/>
          <w:lang w:eastAsia="zh-CN"/>
        </w:rPr>
        <w:t>打造“双向”瑶乡党建品牌，抓创新促党组织达标创优。</w:t>
      </w:r>
      <w:r>
        <w:rPr>
          <w:rFonts w:hint="eastAsia" w:ascii="仿宋_GB2312" w:hAnsi="仿宋_GB2312" w:eastAsia="仿宋_GB2312" w:cs="仿宋_GB2312"/>
          <w:lang w:eastAsia="zh-CN"/>
        </w:rPr>
        <w:t>深化拓展“双向承诺”活动，推动116个村（社区）党组织</w:t>
      </w:r>
      <w:r>
        <w:rPr>
          <w:rFonts w:hint="eastAsia" w:ascii="仿宋_GB2312" w:hAnsi="仿宋_GB2312" w:eastAsia="仿宋_GB2312" w:cs="仿宋_GB2312"/>
          <w:lang w:val="en-US" w:eastAsia="zh-CN"/>
        </w:rPr>
        <w:t>和</w:t>
      </w:r>
      <w:r>
        <w:rPr>
          <w:rFonts w:hint="eastAsia" w:ascii="仿宋_GB2312" w:hAnsi="仿宋_GB2312" w:eastAsia="仿宋_GB2312" w:cs="仿宋_GB2312"/>
          <w:lang w:eastAsia="zh-CN"/>
        </w:rPr>
        <w:t>2715名党员承诺事项</w:t>
      </w:r>
      <w:r>
        <w:rPr>
          <w:rFonts w:hint="eastAsia" w:ascii="仿宋_GB2312" w:hAnsi="仿宋_GB2312" w:eastAsia="仿宋_GB2312" w:cs="仿宋_GB2312"/>
          <w:lang w:val="en-US" w:eastAsia="zh-CN"/>
        </w:rPr>
        <w:t>1.1万余</w:t>
      </w:r>
      <w:r>
        <w:rPr>
          <w:rFonts w:hint="eastAsia" w:ascii="仿宋_GB2312" w:hAnsi="仿宋_GB2312" w:eastAsia="仿宋_GB2312" w:cs="仿宋_GB2312"/>
          <w:lang w:eastAsia="zh-CN"/>
        </w:rPr>
        <w:t>件，完成率100%，将开展全县村级党组织“双向承诺”打擂比武大会，通过“实地考核+比武演说+现场测评”方式评选出12个先进党组织，进一步促进“两个作用”的发挥。为推动党员干部走好新时代党的群众路线，创新开展“双向服务”，推动全县科级及以上实职领导干部下沉9个乡镇116个村（社区）向基层服务、向群众服务，活动累计开展政策宣讲610次，完成调查研究610次，办理基层民生实事701件，帮助解决问题580个，开展驻点直联活动5100余次。印发《关于进一步加强2023年党建信息报送工作的通知》，举办全县党建工作信息宣传专题培训班，加强全县各单位党建信息联络指导，编辑2期《乳源组工通讯》，在韶关先锋等市级以上媒体平台刊登100余次，11篇评论文章登上粤讲粤政、共产党员网等平台。开展“高质量党建推动高质量发展”微视频征集活动，共征集18个优质微视频，并向市委组织部推荐5个优秀作品，其中《奋进》荣获三等奖，更好凝聚谱写乳源现代化建设新篇章的磅礴力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（三）选贤任能激活干部队伍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树立正确选用导向,常态化推进“一线考察干部”,综合利用巡察、审计、绩效考核等结果，对干部履职情况进行深入研究，做到见人见事见领导，确保多角度、全方位、立体式了解考察干部，推荐优秀干部55名，提出表现较差干部15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强化干部资源统筹调配和优化配置，提拔任用干部向“百县千镇万村高质量发展工程”等重点中心工作倾斜。2023年以来，提拔或进一步使用干部</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lang w:eastAsia="zh-CN"/>
        </w:rPr>
        <w:t>人，调整交流干部1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批次，共</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lang w:eastAsia="zh-CN"/>
        </w:rPr>
        <w:t>人。统筹27个年度考核优秀指标用于表彰在基层一线、重点项目等工作中表现优秀的干部，干部干事创业精气神进一步提振。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聚焦综合素质提高，坚持理论提升和时间锻炼相结合。</w:t>
      </w:r>
      <w:r>
        <w:rPr>
          <w:rFonts w:hint="eastAsia" w:ascii="仿宋_GB2312" w:hAnsi="仿宋_GB2312" w:eastAsia="仿宋_GB2312" w:cs="仿宋_GB2312"/>
          <w:sz w:val="32"/>
          <w:szCs w:val="32"/>
          <w:lang w:eastAsia="zh-CN"/>
        </w:rPr>
        <w:t>举办人才及选调生服务高质量发展能力提升培训班、学习贯彻党的二十大精神专题研讨班、中青年后备干部培训班等不同专题、针对不同人员的培训班，选拔18名优秀年轻干部到高质量发展重点镇、重点部门开展“双向锻炼”，选派7名干部到省、市直单位挂职锻炼或跟班学习，择优抽调4名科级领导干部和51名科员参加巡察工作，选派29名干部充实到驻外招商队、县重点项目工作专班、“百县千镇万村高质量发展工程”工作专班等主战场、8名新任副科干部到县群众信访诉求服务中心跟班历练，让干部在摸爬滚打中增长才干。</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eastAsia="zh-CN"/>
        </w:rPr>
        <w:t>坚持把干部监督工作融入全面从严治党大格局。</w:t>
      </w:r>
      <w:r>
        <w:rPr>
          <w:rFonts w:hint="eastAsia" w:ascii="仿宋_GB2312" w:hAnsi="仿宋_GB2312" w:eastAsia="仿宋_GB2312" w:cs="仿宋_GB2312"/>
          <w:sz w:val="32"/>
          <w:szCs w:val="32"/>
          <w:lang w:eastAsia="zh-CN"/>
        </w:rPr>
        <w:t>全面梳理规范出国境证照登记管理、备案、审批程序，深入开展任职回避、违规兼职取酬、混编混岗、任现职满十年等专项排查整治，制定印发领导干部重要事项报告有关规定，常态化收集各有关单位报送的干部信访核查、党纪政务处分等有关情况，确保有效掌握干部的动态。2023年以来，开展各类谈心谈话</w:t>
      </w:r>
      <w:r>
        <w:rPr>
          <w:rFonts w:hint="eastAsia" w:ascii="仿宋_GB2312" w:hAnsi="仿宋_GB2312" w:eastAsia="仿宋_GB2312" w:cs="仿宋_GB2312"/>
          <w:sz w:val="32"/>
          <w:szCs w:val="32"/>
          <w:lang w:val="en-US" w:eastAsia="zh-CN"/>
        </w:rPr>
        <w:t>227</w:t>
      </w:r>
      <w:r>
        <w:rPr>
          <w:rFonts w:hint="eastAsia" w:ascii="仿宋_GB2312" w:hAnsi="仿宋_GB2312" w:eastAsia="仿宋_GB2312" w:cs="仿宋_GB2312"/>
          <w:sz w:val="32"/>
          <w:szCs w:val="32"/>
          <w:lang w:eastAsia="zh-CN"/>
        </w:rPr>
        <w:t>人次。推动干部能上能下，树牢能者上、优者奖、庸者下、劣者汰的用人导向，持续营造风清气正干事创业的良好环境。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（四）强化高质量发展人才支撑</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印发《乳源瑶族自治县推动“百县千镇万村高质量发展工程”人才入县下乡十条措施》，推动人才入县下乡支撑县域、镇域经济发展；组织实施“重点企业联络服务行动”，选派30名懂政策、业务熟、能力强的领导干部作为驻企人才联络服务员，“一对一”服务我县30家头部企业。</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有序开展“百镇返千才”人才返乡创业工作，收集到87名外出人才有返乡创业的意愿和计划，已形成相对成熟的创业项目90个，</w:t>
      </w:r>
      <w:r>
        <w:rPr>
          <w:rFonts w:hint="eastAsia" w:ascii="仿宋_GB2312" w:hAnsi="仿宋_GB2312" w:eastAsia="仿宋_GB2312" w:cs="仿宋_GB2312"/>
          <w:sz w:val="32"/>
          <w:szCs w:val="32"/>
        </w:rPr>
        <w:t>大布镇创新创业基地项目被评为市域返乡人才创业典型项目</w:t>
      </w:r>
      <w:r>
        <w:rPr>
          <w:rFonts w:hint="eastAsia" w:ascii="仿宋_GB2312" w:hAnsi="仿宋_GB2312" w:eastAsia="仿宋_GB2312" w:cs="仿宋_GB2312"/>
          <w:sz w:val="32"/>
          <w:szCs w:val="32"/>
          <w:lang w:eastAsia="zh-CN"/>
        </w:rPr>
        <w:t>；招引高学历“青年人才”，通过“网络招聘+外出招聘”的形式，引进博士研究生1名、硕士研究生40名；持续引育“韶州工匠”，有</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人成功申报“风采技师”，</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lang w:eastAsia="zh-CN"/>
        </w:rPr>
        <w:t>人成功申报“风采能手”；加强培养乡村人才，评选县级“土专家”“田秀才”“乡创客”各10名、市级各1名。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sz w:val="32"/>
          <w:szCs w:val="32"/>
          <w:lang w:eastAsia="zh-CN"/>
        </w:rPr>
        <w:t>用好用活人才驿站，柔性引进</w:t>
      </w:r>
      <w:r>
        <w:rPr>
          <w:rFonts w:hint="eastAsia" w:ascii="仿宋_GB2312" w:hAnsi="仿宋_GB2312" w:eastAsia="仿宋_GB2312" w:cs="仿宋_GB2312"/>
          <w:sz w:val="32"/>
          <w:szCs w:val="32"/>
          <w:lang w:val="en-US" w:eastAsia="zh-CN"/>
        </w:rPr>
        <w:t>228</w:t>
      </w:r>
      <w:r>
        <w:rPr>
          <w:rFonts w:hint="eastAsia" w:ascii="仿宋_GB2312" w:hAnsi="仿宋_GB2312" w:eastAsia="仿宋_GB2312" w:cs="仿宋_GB2312"/>
          <w:sz w:val="32"/>
          <w:szCs w:val="32"/>
          <w:lang w:eastAsia="zh-CN"/>
        </w:rPr>
        <w:t>名专家学者到乳源开展实地考察、调研指导等各类人才活动</w:t>
      </w:r>
      <w:r>
        <w:rPr>
          <w:rFonts w:hint="eastAsia" w:ascii="仿宋_GB2312" w:hAnsi="仿宋_GB2312" w:eastAsia="仿宋_GB2312" w:cs="仿宋_GB2312"/>
          <w:sz w:val="32"/>
          <w:szCs w:val="32"/>
          <w:lang w:val="en-US" w:eastAsia="zh-CN"/>
        </w:rPr>
        <w:t>174</w:t>
      </w:r>
      <w:r>
        <w:rPr>
          <w:rFonts w:hint="eastAsia" w:ascii="仿宋_GB2312" w:hAnsi="仿宋_GB2312" w:eastAsia="仿宋_GB2312" w:cs="仿宋_GB2312"/>
          <w:sz w:val="32"/>
          <w:szCs w:val="32"/>
          <w:lang w:eastAsia="zh-CN"/>
        </w:rPr>
        <w:t>场，洛阳镇、一六镇乡村振兴人才驿站今年被市评为“A”级，大布镇乡村振兴人才驿站被市评为“B”级；加强人才重点平台建设，揭牌成立“岭南名医洪楚原工作室”“王笑民教授乳源工作室”“于锋名医工作室”“盘良安名家工作室”；实施创新驱动发展战略，成功建设</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个博士工作站和1个博士后创新实践基地，新增专利授权量173项，3项专利荣获中国专利优秀奖，我县“大数据产业源头新能源及电子材料产业人才振兴项目”成功入选省“扬帆计划”，三年共获得300万元的省级资助资金。</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sz w:val="32"/>
          <w:szCs w:val="32"/>
          <w:lang w:eastAsia="zh-CN"/>
        </w:rPr>
        <w:t>用心用情深化人才服务，发放各类人才津补贴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00余万元，帮助解决</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lang w:eastAsia="zh-CN"/>
        </w:rPr>
        <w:t>名高层次及紧缺适用人才子女入学问题。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（五）提升离退休干部工作水平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Style w:val="10"/>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pPr>
      <w:r>
        <w:rPr>
          <w:rStyle w:val="10"/>
          <w:rFonts w:hint="eastAsia" w:ascii="仿宋_GB2312" w:hAnsi="仿宋_GB2312" w:eastAsia="仿宋_GB2312" w:cs="仿宋_GB2312"/>
          <w:b/>
          <w:bCs/>
          <w:i w:val="0"/>
          <w:iCs w:val="0"/>
          <w:caps w:val="0"/>
          <w:color w:val="auto"/>
          <w:spacing w:val="0"/>
          <w:sz w:val="32"/>
          <w:szCs w:val="32"/>
          <w:highlight w:val="none"/>
          <w:shd w:val="clear" w:color="auto" w:fill="FFFFFF"/>
          <w:lang w:val="en-US" w:eastAsia="zh-CN"/>
        </w:rPr>
        <w:t>一是</w:t>
      </w:r>
      <w:r>
        <w:rPr>
          <w:rStyle w:val="10"/>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按照“六好”标准，着力推动离退休干部党建工作标准化规范化。按照离退休干部党员“一方隶属、多方管理”的党建工作机制，灵活设置离退休干部党组织30个，占全市的4.8%。独立离退休干部党组织管理离退休党员473名，占离退休党员总数的36%。</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Style w:val="10"/>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pPr>
      <w:r>
        <w:rPr>
          <w:rStyle w:val="10"/>
          <w:rFonts w:hint="eastAsia" w:ascii="仿宋_GB2312" w:hAnsi="仿宋_GB2312" w:eastAsia="仿宋_GB2312" w:cs="仿宋_GB2312"/>
          <w:b/>
          <w:bCs/>
          <w:i w:val="0"/>
          <w:iCs w:val="0"/>
          <w:caps w:val="0"/>
          <w:color w:val="auto"/>
          <w:spacing w:val="0"/>
          <w:sz w:val="32"/>
          <w:szCs w:val="32"/>
          <w:highlight w:val="none"/>
          <w:shd w:val="clear" w:color="auto" w:fill="FFFFFF"/>
          <w:lang w:val="en-US" w:eastAsia="zh-CN"/>
        </w:rPr>
        <w:t>二是</w:t>
      </w:r>
      <w:r>
        <w:rPr>
          <w:rFonts w:hint="eastAsia" w:ascii="仿宋_GB2312" w:hAnsi="仿宋_GB2312" w:eastAsia="仿宋_GB2312" w:cs="仿宋_GB2312"/>
          <w:sz w:val="32"/>
          <w:szCs w:val="32"/>
          <w:lang w:eastAsia="zh-CN"/>
        </w:rPr>
        <w:t>常态化推进离休干部“一人一策”精准服务机制，</w:t>
      </w:r>
      <w:r>
        <w:rPr>
          <w:rFonts w:hint="eastAsia" w:ascii="仿宋_GB2312" w:hAnsi="仿宋_GB2312" w:eastAsia="仿宋_GB2312" w:cs="仿宋_GB2312"/>
          <w:b w:val="0"/>
          <w:bCs w:val="0"/>
          <w:color w:val="auto"/>
          <w:kern w:val="2"/>
          <w:sz w:val="32"/>
          <w:szCs w:val="32"/>
          <w:highlight w:val="none"/>
          <w:lang w:val="en-US" w:eastAsia="zh-CN" w:bidi="ar-SA"/>
        </w:rPr>
        <w:t>通过打造文化养老“充电站”、搭建公益平台等方式，推动老干部在</w:t>
      </w:r>
      <w:r>
        <w:rPr>
          <w:rFonts w:hint="eastAsia" w:ascii="仿宋_GB2312" w:hAnsi="仿宋_GB2312" w:eastAsia="仿宋_GB2312" w:cs="仿宋_GB2312"/>
          <w:color w:val="auto"/>
          <w:sz w:val="32"/>
          <w:szCs w:val="32"/>
          <w:highlight w:val="none"/>
        </w:rPr>
        <w:t>各领域发挥余热、再立新功</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《瑶乡银龄在行动，文艺点亮信仰光》党建案例得到了省市领导肯定，列入2023年广东省离退休干部党建工作创新案例汇编。</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二、存在不足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bCs/>
          <w:color w:val="auto"/>
          <w:sz w:val="32"/>
          <w:szCs w:val="32"/>
          <w:highlight w:val="yellow"/>
          <w:lang w:val="en-US" w:eastAsia="zh-CN"/>
        </w:rPr>
      </w:pPr>
      <w:r>
        <w:rPr>
          <w:rFonts w:hint="eastAsia" w:ascii="楷体_GB2312" w:hAnsi="楷体_GB2312" w:eastAsia="楷体_GB2312" w:cs="楷体_GB2312"/>
          <w:b w:val="0"/>
          <w:bCs w:val="0"/>
          <w:color w:val="auto"/>
          <w:sz w:val="32"/>
          <w:szCs w:val="32"/>
          <w:highlight w:val="none"/>
          <w:lang w:val="en-US" w:eastAsia="zh-CN"/>
        </w:rPr>
        <w:t>（一）指导村党组织发挥“领头雁”作用不够。</w:t>
      </w:r>
      <w:r>
        <w:rPr>
          <w:rFonts w:hint="eastAsia" w:ascii="仿宋_GB2312" w:hAnsi="仿宋_GB2312" w:eastAsia="仿宋_GB2312" w:cs="仿宋_GB2312"/>
          <w:b w:val="0"/>
          <w:bCs w:val="0"/>
          <w:color w:val="auto"/>
          <w:sz w:val="32"/>
          <w:szCs w:val="32"/>
          <w:highlight w:val="none"/>
          <w:lang w:val="en-US" w:eastAsia="zh-CN"/>
        </w:rPr>
        <w:t>少数基层党组织软弱涣散，领导力和组织力不够强，部分党务干部对基层党务工作不够熟悉，致使在推动产业发展和服务群众上思路不新、措施不多、办法不活、成效不佳，与发展要求和群众需求相比，服务意识和服务能力需进一步加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val="0"/>
          <w:bCs w:val="0"/>
          <w:color w:val="auto"/>
          <w:sz w:val="32"/>
          <w:szCs w:val="32"/>
          <w:highlight w:val="none"/>
          <w:lang w:val="en-US" w:eastAsia="zh-CN"/>
        </w:rPr>
        <w:t>（二）抓党建促城市基层治理水平有待提升。</w:t>
      </w:r>
      <w:r>
        <w:rPr>
          <w:rFonts w:hint="eastAsia" w:ascii="仿宋_GB2312" w:hAnsi="仿宋_GB2312" w:eastAsia="仿宋_GB2312" w:cs="仿宋_GB2312"/>
          <w:sz w:val="32"/>
          <w:szCs w:val="32"/>
          <w:lang w:eastAsia="zh-CN"/>
        </w:rPr>
        <w:t>城市网格服务管理水平参差不齐，未能充分有效激发、调动和聚合社区居民参与社区公共事务的热情，未能充分发动党员发挥先锋模范作用，宣传动员工作不够到位，各类群体的作用发挥有待加强。</w:t>
      </w:r>
    </w:p>
    <w:p>
      <w:pPr>
        <w:pStyle w:val="12"/>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（三）人才的引进培养未能真正满足经济社会发展需求。</w:t>
      </w:r>
      <w:r>
        <w:rPr>
          <w:rFonts w:hint="eastAsia" w:ascii="仿宋_GB2312" w:hAnsi="仿宋_GB2312" w:eastAsia="仿宋_GB2312" w:cs="仿宋_GB2312"/>
          <w:b w:val="0"/>
          <w:bCs w:val="0"/>
          <w:color w:val="auto"/>
          <w:kern w:val="2"/>
          <w:sz w:val="32"/>
          <w:szCs w:val="32"/>
          <w:highlight w:val="none"/>
          <w:lang w:val="en-US" w:eastAsia="zh-CN" w:bidi="ar-SA"/>
        </w:rPr>
        <w:t>受</w:t>
      </w:r>
      <w:r>
        <w:rPr>
          <w:rFonts w:hint="eastAsia" w:ascii="仿宋_GB2312" w:hAnsi="仿宋_GB2312" w:cs="仿宋_GB2312"/>
          <w:b w:val="0"/>
          <w:bCs w:val="0"/>
          <w:color w:val="auto"/>
          <w:kern w:val="2"/>
          <w:sz w:val="32"/>
          <w:szCs w:val="32"/>
          <w:highlight w:val="none"/>
          <w:lang w:val="en-US" w:eastAsia="zh-CN" w:bidi="ar-SA"/>
        </w:rPr>
        <w:t>我县</w:t>
      </w:r>
      <w:r>
        <w:rPr>
          <w:rFonts w:hint="eastAsia" w:ascii="仿宋_GB2312" w:hAnsi="仿宋_GB2312" w:eastAsia="仿宋_GB2312" w:cs="仿宋_GB2312"/>
          <w:b w:val="0"/>
          <w:bCs w:val="0"/>
          <w:color w:val="auto"/>
          <w:kern w:val="2"/>
          <w:sz w:val="32"/>
          <w:szCs w:val="32"/>
          <w:highlight w:val="none"/>
          <w:lang w:val="en-US" w:eastAsia="zh-CN" w:bidi="ar-SA"/>
        </w:rPr>
        <w:t>经济发展条件影响，引进和留住紧缺高层次人才仍然面临较大困难，高层次的企业类、教育类和医疗卫生类人才的引进工作受到较大限制。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三、2024年工作计划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2024年，县委组织部将持续全面学习贯彻习近平总书记对党的建设和组织工作作出的重要指示及全国、全省、全市组织工作会议精神。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（一）推进凝心铸魂工程。</w:t>
      </w:r>
      <w:r>
        <w:rPr>
          <w:rFonts w:hint="eastAsia" w:ascii="仿宋_GB2312" w:hAnsi="仿宋_GB2312" w:eastAsia="仿宋_GB2312" w:cs="仿宋_GB2312"/>
          <w:b w:val="0"/>
          <w:bCs w:val="0"/>
          <w:color w:val="auto"/>
          <w:sz w:val="32"/>
          <w:szCs w:val="32"/>
          <w:lang w:val="en-US" w:eastAsia="zh-CN"/>
        </w:rPr>
        <w:t>坚持把学习贯彻习近平新时代中国特色社会主义思想作为主题主线，组织实施党的创新理论学习计划，加强政治忠诚教育和党性教育，高标准高质量推进主题教育。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（二）推进干部锻造工程。</w:t>
      </w:r>
      <w:r>
        <w:rPr>
          <w:rFonts w:hint="eastAsia" w:ascii="仿宋_GB2312" w:hAnsi="仿宋_GB2312" w:eastAsia="仿宋_GB2312" w:cs="仿宋_GB2312"/>
          <w:b w:val="0"/>
          <w:bCs w:val="0"/>
          <w:color w:val="auto"/>
          <w:sz w:val="32"/>
          <w:szCs w:val="32"/>
          <w:lang w:val="en-US" w:eastAsia="zh-CN"/>
        </w:rPr>
        <w:t>树立鲜明的用人导向，健全“一线考察、多维辨才”工作体系，注重选优配强各级领导班子，深化“双向锻炼”等活动，健全培养选拔年轻干部常态化工作机制，加强全方位管理和经常性监督，聚力打造实干担当高素质干部队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（三）推进人才提质工程。</w:t>
      </w:r>
      <w:r>
        <w:rPr>
          <w:rFonts w:hint="eastAsia" w:ascii="仿宋_GB2312" w:hAnsi="仿宋_GB2312" w:eastAsia="仿宋_GB2312" w:cs="仿宋_GB2312"/>
          <w:b w:val="0"/>
          <w:bCs w:val="0"/>
          <w:color w:val="auto"/>
          <w:sz w:val="32"/>
          <w:szCs w:val="32"/>
          <w:lang w:val="en-US" w:eastAsia="zh-CN"/>
        </w:rPr>
        <w:t>聚焦产业发展前沿、“百千万工程”、医疗教育等重点领域谋划人才工作，坚持人岗相适、人尽其才，优化人才服务、人才政策。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（四）推进党建赋能工程。</w:t>
      </w:r>
      <w:r>
        <w:rPr>
          <w:rFonts w:hint="eastAsia" w:ascii="仿宋_GB2312" w:hAnsi="仿宋_GB2312" w:eastAsia="仿宋_GB2312" w:cs="仿宋_GB2312"/>
          <w:b w:val="0"/>
          <w:bCs w:val="0"/>
          <w:color w:val="auto"/>
          <w:sz w:val="32"/>
          <w:szCs w:val="32"/>
          <w:lang w:val="en-US" w:eastAsia="zh-CN"/>
        </w:rPr>
        <w:t>坚持大抓基层鲜明导向，以“双向服务”为抓手，深化抓党建促“百千万工程”、党建引领基层治理促乡村振兴，深化新兴领域党建，让党组织“神经末梢”更加强健。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（五）推进党员先锋工程。</w:t>
      </w:r>
      <w:r>
        <w:rPr>
          <w:rFonts w:hint="eastAsia" w:ascii="仿宋_GB2312" w:hAnsi="仿宋_GB2312" w:eastAsia="仿宋_GB2312" w:cs="仿宋_GB2312"/>
          <w:b w:val="0"/>
          <w:bCs w:val="0"/>
          <w:color w:val="auto"/>
          <w:sz w:val="32"/>
          <w:szCs w:val="32"/>
          <w:lang w:val="en-US" w:eastAsia="zh-CN"/>
        </w:rPr>
        <w:t>突出政治标准，从严发展、教育、管理党员，依托“双向承诺”，健全完善党员先锋岗、责任区、志愿服务、承诺践诺、应急动员发挥作用等机制，引导党员立足本职、争先创优。</w:t>
      </w:r>
    </w:p>
    <w:p>
      <w:pPr>
        <w:pStyle w:val="12"/>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pPr>
        <w:pStyle w:val="12"/>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p>
    <w:p>
      <w:pPr>
        <w:pStyle w:val="12"/>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right"/>
        <w:textAlignment w:val="auto"/>
        <w:rPr>
          <w:rFonts w:hint="default" w:ascii="仿宋_GB2312" w:hAnsi="仿宋_GB2312" w:cs="仿宋_GB2312"/>
          <w:b w:val="0"/>
          <w:bCs w:val="0"/>
          <w:color w:val="auto"/>
          <w:kern w:val="2"/>
          <w:sz w:val="32"/>
          <w:szCs w:val="32"/>
          <w:highlight w:val="none"/>
          <w:lang w:val="en-US" w:eastAsia="zh-CN" w:bidi="ar-SA"/>
        </w:rPr>
      </w:pPr>
      <w:r>
        <w:rPr>
          <w:rFonts w:hint="eastAsia" w:ascii="仿宋_GB2312" w:hAnsi="仿宋_GB2312" w:cs="仿宋_GB2312"/>
          <w:b w:val="0"/>
          <w:bCs w:val="0"/>
          <w:color w:val="auto"/>
          <w:kern w:val="2"/>
          <w:sz w:val="32"/>
          <w:szCs w:val="32"/>
          <w:highlight w:val="none"/>
          <w:lang w:val="en-US" w:eastAsia="zh-CN" w:bidi="ar-SA"/>
        </w:rPr>
        <w:t xml:space="preserve">中共乳源瑶族自治县委组织部   </w:t>
      </w:r>
    </w:p>
    <w:p>
      <w:pPr>
        <w:pStyle w:val="12"/>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right"/>
        <w:textAlignment w:val="auto"/>
        <w:rPr>
          <w:rFonts w:hint="default" w:ascii="仿宋_GB2312" w:hAnsi="仿宋_GB2312" w:cs="仿宋_GB2312"/>
          <w:b w:val="0"/>
          <w:bCs w:val="0"/>
          <w:color w:val="auto"/>
          <w:kern w:val="2"/>
          <w:sz w:val="32"/>
          <w:szCs w:val="32"/>
          <w:highlight w:val="none"/>
          <w:lang w:val="en-US" w:eastAsia="zh-CN" w:bidi="ar-SA"/>
        </w:rPr>
      </w:pPr>
      <w:r>
        <w:rPr>
          <w:rFonts w:hint="eastAsia" w:ascii="仿宋_GB2312" w:hAnsi="仿宋_GB2312" w:cs="仿宋_GB2312"/>
          <w:b w:val="0"/>
          <w:bCs w:val="0"/>
          <w:color w:val="auto"/>
          <w:kern w:val="2"/>
          <w:sz w:val="32"/>
          <w:szCs w:val="32"/>
          <w:highlight w:val="none"/>
          <w:lang w:val="en-US" w:eastAsia="zh-CN" w:bidi="ar-SA"/>
        </w:rPr>
        <w:t xml:space="preserve">2024年2月22日       </w:t>
      </w:r>
    </w:p>
    <w:p>
      <w:pPr>
        <w:pStyle w:val="3"/>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Chars="0" w:firstLine="640" w:firstLineChars="200"/>
        <w:jc w:val="right"/>
        <w:textAlignment w:val="auto"/>
        <w:rPr>
          <w:rFonts w:hint="eastAsia" w:ascii="仿宋_GB2312" w:eastAsia="仿宋_GB2312"/>
          <w:sz w:val="32"/>
          <w:szCs w:val="32"/>
          <w:lang w:val="en-US" w:eastAsia="zh-CN"/>
        </w:rPr>
      </w:pPr>
    </w:p>
    <w:sectPr>
      <w:footerReference r:id="rId3" w:type="default"/>
      <w:pgSz w:w="11906" w:h="16838"/>
      <w:pgMar w:top="2098" w:right="1800" w:bottom="1984" w:left="1800" w:header="851" w:footer="147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9C6A88-05D5-4FFD-AF87-C202A308F8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1795D3B-00C4-499D-81A2-D9933FD27F55}"/>
  </w:font>
  <w:font w:name="仿宋_GB2312">
    <w:panose1 w:val="02010609030101010101"/>
    <w:charset w:val="86"/>
    <w:family w:val="modern"/>
    <w:pitch w:val="default"/>
    <w:sig w:usb0="00000001" w:usb1="080E0000" w:usb2="00000000" w:usb3="00000000" w:csb0="00040000" w:csb1="00000000"/>
    <w:embedRegular r:id="rId3" w:fontKey="{9BEFCF7C-087C-4840-B05B-D55486D29C5F}"/>
  </w:font>
  <w:font w:name="方正小标宋简体">
    <w:panose1 w:val="03000509000000000000"/>
    <w:charset w:val="86"/>
    <w:family w:val="auto"/>
    <w:pitch w:val="default"/>
    <w:sig w:usb0="00000001" w:usb1="080E0000" w:usb2="00000000" w:usb3="00000000" w:csb0="00040000" w:csb1="00000000"/>
    <w:embedRegular r:id="rId4" w:fontKey="{B77AAFCE-A0F9-40B3-A5FB-9A65B84DABA7}"/>
  </w:font>
  <w:font w:name="楷体_GB2312">
    <w:panose1 w:val="02010609030101010101"/>
    <w:charset w:val="86"/>
    <w:family w:val="auto"/>
    <w:pitch w:val="default"/>
    <w:sig w:usb0="00000001" w:usb1="080E0000" w:usb2="00000000" w:usb3="00000000" w:csb0="00040000" w:csb1="00000000"/>
    <w:embedRegular r:id="rId5" w:fontKey="{99ECBE13-6B5F-4B3B-A0F6-1840491424E7}"/>
  </w:font>
  <w:font w:name="微软雅黑">
    <w:panose1 w:val="020B0503020204020204"/>
    <w:charset w:val="86"/>
    <w:family w:val="auto"/>
    <w:pitch w:val="default"/>
    <w:sig w:usb0="80000287" w:usb1="280F3C52" w:usb2="00000016" w:usb3="00000000" w:csb0="0004001F" w:csb1="00000000"/>
    <w:embedRegular r:id="rId6" w:fontKey="{465C657A-F419-49F9-BF63-0260F2EDAB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82B2E"/>
    <w:multiLevelType w:val="singleLevel"/>
    <w:tmpl w:val="B3782B2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5764B"/>
    <w:rsid w:val="03D3680D"/>
    <w:rsid w:val="09F2308E"/>
    <w:rsid w:val="0BBA2EA6"/>
    <w:rsid w:val="0C400C21"/>
    <w:rsid w:val="0D567564"/>
    <w:rsid w:val="0F133980"/>
    <w:rsid w:val="112A7EB3"/>
    <w:rsid w:val="171E53D3"/>
    <w:rsid w:val="17FB10C8"/>
    <w:rsid w:val="2277056F"/>
    <w:rsid w:val="230B1BEF"/>
    <w:rsid w:val="2AA12F48"/>
    <w:rsid w:val="329A02C1"/>
    <w:rsid w:val="3F5B3B3C"/>
    <w:rsid w:val="4155764B"/>
    <w:rsid w:val="4410778F"/>
    <w:rsid w:val="49FA2079"/>
    <w:rsid w:val="512147C8"/>
    <w:rsid w:val="5567717C"/>
    <w:rsid w:val="562B0C37"/>
    <w:rsid w:val="57D602CE"/>
    <w:rsid w:val="5B38493D"/>
    <w:rsid w:val="5EB84E19"/>
    <w:rsid w:val="63C221AF"/>
    <w:rsid w:val="69DF1290"/>
    <w:rsid w:val="6FA43F95"/>
    <w:rsid w:val="72AB6356"/>
    <w:rsid w:val="7375281D"/>
    <w:rsid w:val="7BCA39D7"/>
    <w:rsid w:val="7FF60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99"/>
    <w:pPr>
      <w:snapToGrid w:val="0"/>
    </w:pPr>
    <w:rPr>
      <w:sz w:val="18"/>
      <w:szCs w:val="18"/>
    </w:rPr>
  </w:style>
  <w:style w:type="paragraph" w:styleId="3">
    <w:name w:val="Normal Indent"/>
    <w:basedOn w:val="1"/>
    <w:unhideWhenUsed/>
    <w:qFormat/>
    <w:uiPriority w:val="99"/>
    <w:pPr>
      <w:ind w:firstLine="420" w:firstLineChars="200"/>
    </w:pPr>
  </w:style>
  <w:style w:type="paragraph" w:styleId="4">
    <w:name w:val="Plain Text"/>
    <w:basedOn w:val="1"/>
    <w:unhideWhenUsed/>
    <w:qFormat/>
    <w:uiPriority w:val="99"/>
    <w:pPr>
      <w:adjustRightInd w:val="0"/>
      <w:snapToGrid w:val="0"/>
      <w:spacing w:after="200"/>
    </w:pPr>
    <w:rPr>
      <w:rFonts w:hint="eastAsia" w:ascii="宋体" w:hAnsi="Courier New" w:eastAsia="宋体" w:cs="Times New Roman"/>
      <w:sz w:val="22"/>
      <w:szCs w:val="24"/>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0"/>
    <w:rPr>
      <w:b/>
    </w:rPr>
  </w:style>
  <w:style w:type="paragraph" w:customStyle="1" w:styleId="11">
    <w:name w:val="正文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32"/>
      <w:szCs w:val="22"/>
      <w:lang w:val="en-US" w:eastAsia="zh-CN" w:bidi="ar-SA"/>
    </w:rPr>
  </w:style>
  <w:style w:type="paragraph" w:customStyle="1" w:styleId="12">
    <w:name w:val="正文-公1"/>
    <w:basedOn w:val="13"/>
    <w:qFormat/>
    <w:uiPriority w:val="99"/>
    <w:pPr>
      <w:ind w:firstLine="200" w:firstLineChars="200"/>
    </w:pPr>
    <w:rPr>
      <w:rFonts w:cs="Times New Roman"/>
    </w:rPr>
  </w:style>
  <w:style w:type="paragraph" w:customStyle="1" w:styleId="13">
    <w:name w:val="正文 New New"/>
    <w:next w:val="12"/>
    <w:qFormat/>
    <w:uiPriority w:val="0"/>
    <w:pPr>
      <w:widowControl w:val="0"/>
      <w:jc w:val="both"/>
    </w:pPr>
    <w:rPr>
      <w:rFonts w:ascii="Times New Roman" w:hAnsi="Times New Roman" w:eastAsia="仿宋_GB2312" w:cs="Times New Roman"/>
      <w:kern w:val="2"/>
      <w:sz w:val="32"/>
      <w:szCs w:val="32"/>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49</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2021-09-27T01:19:00Z</dcterms:created>
  <dc:creator>赵文峰</dc:creator>
  <cp:lastModifiedBy>马一飞</cp:lastModifiedBy>
  <cp:lastPrinted>2024-02-23T06:42:05Z</cp:lastPrinted>
  <dcterms:modified xsi:type="dcterms:W3CDTF">2024-02-23T07:29:38Z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ribbonExt">
    <vt:lpwstr>{"WPSExtOfficeTab":{"OnGetEnabled":false,"OnGetVisible":false}}</vt:lpwstr>
  </property>
  <property fmtid="{D5CDD505-2E9C-101B-9397-08002B2CF9AE}" pid="4" name="ICV">
    <vt:lpwstr>8B2A987B234C4B5CA885E696A23E970B</vt:lpwstr>
  </property>
</Properties>
</file>